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Pr="00501D77" w:rsidRDefault="00CD0E8A">
      <w:pPr>
        <w:ind w:right="27"/>
        <w:jc w:val="center"/>
        <w:rPr>
          <w:b/>
        </w:rPr>
      </w:pPr>
      <w:r w:rsidRPr="00CD0E8A">
        <w:rPr>
          <w:b/>
          <w:sz w:val="22"/>
          <w:szCs w:val="22"/>
        </w:rPr>
        <w:t>МУП "Энергетик"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12192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00" w:rsidRDefault="00CD0E8A">
                            <w:r>
                              <w:rPr>
                                <w:b/>
                              </w:rPr>
                              <w:t>с. Киргиз-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Мияки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96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h3fAIAAP8EAAAOAAAAZHJzL2Uyb0RvYy54bWysVMtu2zAQvBfoPxC8O3pUSSzBchA7dVEg&#10;fQBJP4AmKYsoRbIkbSkt+u9dUpbjPg5FUR2klbgczu7ManEzdBIduHVCqxpnFylGXFHNhNrV+NPj&#10;ZjbHyHmiGJFa8Ro/cYdvli9fLHpT8Vy3WjJuEYAoV/Wmxq33pkoSR1veEXehDVew2GjbEQ+vdpcw&#10;S3pA72SSp+lV0mvLjNWUOwdf78ZFvIz4TcOp/9A0jnskawzcfLzbeN+Ge7JckGpniWkFPdIg/8Ci&#10;I0LBoSeoO+IJ2lvxG1QnqNVON/6C6i7RTSMojzVANVn6SzUPLTE81gLNcebUJvf/YOn7w0eLBAPt&#10;MFKkA4ke+eDRSg8oD93pjasg6cFAmh/gc8gMlTpzr+lnh5Ret0Tt+K21um85YcAuCzuTs60jjgsg&#10;2/6dZnAM2XsdgYbGdgEQmoEAHVR6OikTqNBwZJ6VIDdGFNby+as8i9IlpJp2G+v8G647FIIaW1A+&#10;opPDvfOBDammlMheS8E2Qsr4YnfbtbToQMAlm3jFAqDI8zSpQrLSYduIOH4BknBGWAt0o+rfyiwv&#10;0lVezjZX8+tZsSkuZ+V1Op+lWbkqr9KiLO423wPBrKhawRhX90LxyYFZ8XcKH2dh9E70IOprXF7m&#10;l6NE5+zdeZFpvP5UZCc8DKQUXY3npyRSBWFfKwZlk8oTIcc4+Zl+7DL0YHrGrkQbBOVHD/hhOwBK&#10;8MZWsycwhNWgF0gLfxEIWm2/YtTDRNbYfdkTyzGSbxWYKozvFNgp2E4BURS21thjNIZrP4753lix&#10;awF5tK3St2C8RkRPPLM42hWmLJI//hHCGJ+/x6zn/9byBwAAAP//AwBQSwMEFAAGAAgAAAAhACws&#10;KzXgAAAADQEAAA8AAABkcnMvZG93bnJldi54bWxMT8tOwzAQvCPxD9YicUHUoQW3DXEqaOkNDn2o&#10;Zzc2SUS8jmynSf+ezQluMzuj2ZlsNdiGXYwPtUMJT5MEmMHC6RpLCcfD9nEBLESFWjUOjYSrCbDK&#10;b28ylWrX485c9rFkFIIhVRKqGNuU81BUxqowca1B0r6dtyoS9SXXXvUUbhs+TRLBraqRPlSqNevK&#10;FD/7zkoQG9/1O1w/bI4fn+qrLaen9+tJyvu74e0VWDRD/DPDWJ+qQ06dzq5DHVgj4Xk+py2RhJfZ&#10;khBZhBjBeTwtZgJ4nvH/K/JfAAAA//8DAFBLAQItABQABgAIAAAAIQC2gziS/gAAAOEBAAATAAAA&#10;AAAAAAAAAAAAAAAAAABbQ29udGVudF9UeXBlc10ueG1sUEsBAi0AFAAGAAgAAAAhADj9If/WAAAA&#10;lAEAAAsAAAAAAAAAAAAAAAAALwEAAF9yZWxzLy5yZWxzUEsBAi0AFAAGAAgAAAAhAMHcCHd8AgAA&#10;/wQAAA4AAAAAAAAAAAAAAAAALgIAAGRycy9lMm9Eb2MueG1sUEsBAi0AFAAGAAgAAAAhACwsKzXg&#10;AAAADQEAAA8AAAAAAAAAAAAAAAAA1gQAAGRycy9kb3ducmV2LnhtbFBLBQYAAAAABAAEAPMAAADj&#10;BQAAAAA=&#10;" stroked="f">
                <v:textbox inset="0,0,0,0">
                  <w:txbxContent>
                    <w:p w:rsidR="007C2300" w:rsidRDefault="00CD0E8A">
                      <w:r>
                        <w:rPr>
                          <w:b/>
                        </w:rPr>
                        <w:t>с. Киргиз-</w:t>
                      </w:r>
                      <w:proofErr w:type="spellStart"/>
                      <w:r>
                        <w:rPr>
                          <w:b/>
                        </w:rPr>
                        <w:t>Мияки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CD0E8A" w:rsidP="007059DD">
      <w:pPr>
        <w:pageBreakBefore/>
        <w:ind w:firstLine="708"/>
        <w:jc w:val="both"/>
        <w:rPr>
          <w:b/>
          <w:sz w:val="22"/>
          <w:szCs w:val="22"/>
        </w:rPr>
      </w:pPr>
      <w:r w:rsidRPr="00CD0E8A">
        <w:rPr>
          <w:b/>
          <w:sz w:val="22"/>
          <w:szCs w:val="22"/>
        </w:rPr>
        <w:lastRenderedPageBreak/>
        <w:t>МУП "Энергетик"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proofErr w:type="spellStart"/>
      <w:r w:rsidRPr="00CD0E8A">
        <w:rPr>
          <w:sz w:val="22"/>
          <w:szCs w:val="22"/>
        </w:rPr>
        <w:t>Бахтияров</w:t>
      </w:r>
      <w:r>
        <w:rPr>
          <w:sz w:val="22"/>
          <w:szCs w:val="22"/>
        </w:rPr>
        <w:t>а</w:t>
      </w:r>
      <w:proofErr w:type="spellEnd"/>
      <w:r w:rsidRPr="00CD0E8A">
        <w:rPr>
          <w:sz w:val="22"/>
          <w:szCs w:val="22"/>
        </w:rPr>
        <w:t xml:space="preserve"> </w:t>
      </w:r>
      <w:proofErr w:type="spellStart"/>
      <w:r w:rsidRPr="00CD0E8A">
        <w:rPr>
          <w:sz w:val="22"/>
          <w:szCs w:val="22"/>
        </w:rPr>
        <w:t>Филюс</w:t>
      </w:r>
      <w:r>
        <w:rPr>
          <w:sz w:val="22"/>
          <w:szCs w:val="22"/>
        </w:rPr>
        <w:t>а</w:t>
      </w:r>
      <w:proofErr w:type="spellEnd"/>
      <w:r w:rsidRPr="00CD0E8A">
        <w:rPr>
          <w:sz w:val="22"/>
          <w:szCs w:val="22"/>
        </w:rPr>
        <w:t xml:space="preserve"> </w:t>
      </w:r>
      <w:proofErr w:type="spellStart"/>
      <w:r w:rsidRPr="00CD0E8A">
        <w:rPr>
          <w:sz w:val="22"/>
          <w:szCs w:val="22"/>
        </w:rPr>
        <w:t>Анварович</w:t>
      </w:r>
      <w:r>
        <w:rPr>
          <w:sz w:val="22"/>
          <w:szCs w:val="22"/>
        </w:rPr>
        <w:t>а</w:t>
      </w:r>
      <w:proofErr w:type="spellEnd"/>
      <w:r w:rsidR="001E6AFF">
        <w:rPr>
          <w:sz w:val="22"/>
          <w:szCs w:val="22"/>
        </w:rPr>
        <w:t xml:space="preserve">, действующего на основании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r w:rsidR="00CD0E8A">
        <w:rPr>
          <w:b/>
          <w:bCs/>
          <w:sz w:val="22"/>
          <w:szCs w:val="22"/>
        </w:rPr>
        <w:t>с. Киргиз-</w:t>
      </w:r>
      <w:proofErr w:type="spellStart"/>
      <w:r w:rsidR="00CD0E8A">
        <w:rPr>
          <w:b/>
          <w:bCs/>
          <w:sz w:val="22"/>
          <w:szCs w:val="22"/>
        </w:rPr>
        <w:t>Мияки</w:t>
      </w:r>
      <w:proofErr w:type="spellEnd"/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3A50FC" w:rsidRPr="003A50FC" w:rsidRDefault="001E6AFF" w:rsidP="003A50FC">
      <w:pPr>
        <w:ind w:right="30"/>
        <w:rPr>
          <w:kern w:val="0"/>
          <w:sz w:val="22"/>
          <w:szCs w:val="22"/>
        </w:rPr>
      </w:pPr>
      <w:r>
        <w:rPr>
          <w:sz w:val="22"/>
          <w:szCs w:val="22"/>
        </w:rPr>
        <w:lastRenderedPageBreak/>
        <w:t xml:space="preserve">ИНН 0274018377, </w:t>
      </w:r>
      <w:r w:rsidR="003A50FC" w:rsidRPr="003A50FC">
        <w:rPr>
          <w:kern w:val="0"/>
          <w:sz w:val="22"/>
          <w:szCs w:val="22"/>
        </w:rPr>
        <w:t>КПП 997750001</w:t>
      </w:r>
      <w:r w:rsidR="003A50FC">
        <w:rPr>
          <w:kern w:val="0"/>
          <w:sz w:val="22"/>
          <w:szCs w:val="22"/>
        </w:rPr>
        <w:t xml:space="preserve"> </w:t>
      </w:r>
      <w:r w:rsidR="003A50FC" w:rsidRPr="003A50FC">
        <w:rPr>
          <w:kern w:val="0"/>
          <w:sz w:val="22"/>
          <w:szCs w:val="22"/>
        </w:rPr>
        <w:t xml:space="preserve">р/счет </w:t>
      </w:r>
      <w:r w:rsidR="003A50FC" w:rsidRPr="003A50FC">
        <w:rPr>
          <w:kern w:val="0"/>
          <w:sz w:val="22"/>
          <w:szCs w:val="22"/>
          <w:lang w:eastAsia="ru-RU"/>
        </w:rPr>
        <w:t>40702810129300000171</w:t>
      </w:r>
      <w:r w:rsidR="003A50FC">
        <w:rPr>
          <w:kern w:val="0"/>
          <w:sz w:val="22"/>
          <w:szCs w:val="22"/>
          <w:lang w:eastAsia="ru-RU"/>
        </w:rPr>
        <w:t xml:space="preserve"> </w:t>
      </w:r>
      <w:r w:rsidR="003A50FC" w:rsidRPr="003A50FC">
        <w:rPr>
          <w:kern w:val="0"/>
          <w:sz w:val="22"/>
          <w:szCs w:val="22"/>
        </w:rPr>
        <w:t xml:space="preserve">в филиале «НИЖЕГОРОДСКИЙ» </w:t>
      </w:r>
    </w:p>
    <w:p w:rsidR="003A50FC" w:rsidRPr="003A50FC" w:rsidRDefault="003A50FC" w:rsidP="003A50FC">
      <w:pPr>
        <w:ind w:right="30"/>
        <w:rPr>
          <w:kern w:val="0"/>
          <w:sz w:val="22"/>
          <w:szCs w:val="22"/>
        </w:rPr>
      </w:pPr>
      <w:r w:rsidRPr="003A50FC">
        <w:rPr>
          <w:kern w:val="0"/>
          <w:sz w:val="22"/>
          <w:szCs w:val="22"/>
        </w:rPr>
        <w:t>ОАО «Альфа-Банк», г. Нижний Новгород</w:t>
      </w:r>
    </w:p>
    <w:p w:rsidR="003A50FC" w:rsidRPr="003A50FC" w:rsidRDefault="003A50FC" w:rsidP="003A50FC">
      <w:pPr>
        <w:ind w:right="30"/>
        <w:rPr>
          <w:color w:val="000000"/>
          <w:kern w:val="0"/>
          <w:sz w:val="22"/>
          <w:szCs w:val="22"/>
          <w:lang w:eastAsia="ru-RU"/>
        </w:rPr>
      </w:pPr>
      <w:r w:rsidRPr="003A50FC">
        <w:rPr>
          <w:kern w:val="0"/>
          <w:sz w:val="22"/>
          <w:szCs w:val="22"/>
        </w:rPr>
        <w:t>БИК 042202824</w:t>
      </w:r>
      <w:r>
        <w:rPr>
          <w:kern w:val="0"/>
          <w:sz w:val="22"/>
          <w:szCs w:val="22"/>
        </w:rPr>
        <w:t xml:space="preserve"> </w:t>
      </w:r>
      <w:bookmarkStart w:id="0" w:name="_GoBack"/>
      <w:bookmarkEnd w:id="0"/>
      <w:r w:rsidRPr="003A50FC">
        <w:rPr>
          <w:kern w:val="0"/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CD0E8A">
        <w:rPr>
          <w:sz w:val="22"/>
          <w:szCs w:val="22"/>
        </w:rPr>
        <w:t>с. Киргиз-</w:t>
      </w:r>
      <w:proofErr w:type="spellStart"/>
      <w:r w:rsidR="00CD0E8A">
        <w:rPr>
          <w:sz w:val="22"/>
          <w:szCs w:val="22"/>
        </w:rPr>
        <w:t>Мияки</w:t>
      </w:r>
      <w:proofErr w:type="spellEnd"/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9F" w:rsidRDefault="009F3C9F">
      <w:r>
        <w:separator/>
      </w:r>
    </w:p>
  </w:endnote>
  <w:endnote w:type="continuationSeparator" w:id="0">
    <w:p w:rsidR="009F3C9F" w:rsidRDefault="009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9F" w:rsidRDefault="009F3C9F">
      <w:r>
        <w:separator/>
      </w:r>
    </w:p>
  </w:footnote>
  <w:footnote w:type="continuationSeparator" w:id="0">
    <w:p w:rsidR="009F3C9F" w:rsidRDefault="009F3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041FAD"/>
    <w:rsid w:val="00131D38"/>
    <w:rsid w:val="001E69B8"/>
    <w:rsid w:val="001E6AFF"/>
    <w:rsid w:val="00220044"/>
    <w:rsid w:val="00223C61"/>
    <w:rsid w:val="00240B53"/>
    <w:rsid w:val="00254E07"/>
    <w:rsid w:val="00297434"/>
    <w:rsid w:val="003A0AD3"/>
    <w:rsid w:val="003A50FC"/>
    <w:rsid w:val="003E708F"/>
    <w:rsid w:val="00423198"/>
    <w:rsid w:val="004548B9"/>
    <w:rsid w:val="004B5217"/>
    <w:rsid w:val="00501D77"/>
    <w:rsid w:val="005510CA"/>
    <w:rsid w:val="0066692A"/>
    <w:rsid w:val="007059DD"/>
    <w:rsid w:val="007C2300"/>
    <w:rsid w:val="0081215E"/>
    <w:rsid w:val="00825453"/>
    <w:rsid w:val="009D7F94"/>
    <w:rsid w:val="009F3C9F"/>
    <w:rsid w:val="00A3590A"/>
    <w:rsid w:val="00AA5AA1"/>
    <w:rsid w:val="00BD7E87"/>
    <w:rsid w:val="00C22405"/>
    <w:rsid w:val="00C45D06"/>
    <w:rsid w:val="00CD0E8A"/>
    <w:rsid w:val="00CD54E5"/>
    <w:rsid w:val="00D935C6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4907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3</cp:revision>
  <cp:lastPrinted>2012-09-13T06:25:00Z</cp:lastPrinted>
  <dcterms:created xsi:type="dcterms:W3CDTF">2014-11-24T06:43:00Z</dcterms:created>
  <dcterms:modified xsi:type="dcterms:W3CDTF">2014-12-03T10:14:00Z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